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D3" w:rsidRPr="005A62D3" w:rsidRDefault="005A62D3" w:rsidP="005A62D3">
      <w:pPr>
        <w:widowControl/>
        <w:shd w:val="clear" w:color="auto" w:fill="FFFFFF"/>
        <w:wordWrap w:val="0"/>
        <w:spacing w:line="540" w:lineRule="atLeast"/>
        <w:jc w:val="center"/>
        <w:textAlignment w:val="top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A62D3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河南省“十三五”省辖市、省直管县(市)</w:t>
      </w:r>
    </w:p>
    <w:p w:rsidR="005A62D3" w:rsidRPr="005A62D3" w:rsidRDefault="005A62D3" w:rsidP="005A62D3">
      <w:pPr>
        <w:widowControl/>
        <w:shd w:val="clear" w:color="auto" w:fill="FFFFFF"/>
        <w:wordWrap w:val="0"/>
        <w:spacing w:line="540" w:lineRule="atLeast"/>
        <w:jc w:val="center"/>
        <w:textAlignment w:val="top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5A62D3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碳排放强度控制分解目标</w:t>
      </w:r>
      <w:r w:rsidRPr="005A62D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tbl>
      <w:tblPr>
        <w:tblW w:w="5822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4167"/>
      </w:tblGrid>
      <w:tr w:rsidR="005A62D3" w:rsidRPr="005A62D3" w:rsidTr="005A62D3">
        <w:trPr>
          <w:trHeight w:val="680"/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bookmarkStart w:id="0" w:name="_GoBack"/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地区</w:t>
            </w:r>
          </w:p>
        </w:tc>
        <w:tc>
          <w:tcPr>
            <w:tcW w:w="4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碳排放强度控制目标(％）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郑州市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巩义市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开封市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19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兰考县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洛阳市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平顶山市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汝州市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19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安阳市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滑 县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鹤壁市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新乡市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19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长垣县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焦作市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濮阳市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19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许昌市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19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漯河市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三门峡市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南阳市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lastRenderedPageBreak/>
              <w:t>邓州市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商丘市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永城市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信阳市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固始县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周口市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鹿邑县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驻马店市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新蔡县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18</w:t>
            </w:r>
          </w:p>
        </w:tc>
      </w:tr>
      <w:tr w:rsidR="005A62D3" w:rsidRPr="005A62D3" w:rsidTr="005A62D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济源市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2D3" w:rsidRPr="005A62D3" w:rsidRDefault="005A62D3" w:rsidP="005A62D3">
            <w:pPr>
              <w:widowControl/>
              <w:wordWrap w:val="0"/>
              <w:spacing w:line="400" w:lineRule="atLeas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5A62D3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20</w:t>
            </w:r>
          </w:p>
        </w:tc>
      </w:tr>
    </w:tbl>
    <w:bookmarkEnd w:id="0"/>
    <w:p w:rsidR="005A62D3" w:rsidRPr="005A62D3" w:rsidRDefault="005A62D3" w:rsidP="005A62D3">
      <w:pPr>
        <w:widowControl/>
        <w:shd w:val="clear" w:color="auto" w:fill="FFFFFF"/>
        <w:spacing w:line="390" w:lineRule="atLeast"/>
        <w:jc w:val="left"/>
        <w:textAlignment w:val="top"/>
        <w:rPr>
          <w:rFonts w:ascii="微软雅黑" w:eastAsia="微软雅黑" w:hAnsi="微软雅黑" w:cs="宋体" w:hint="eastAsia"/>
          <w:color w:val="B5B5B5"/>
          <w:kern w:val="0"/>
          <w:sz w:val="18"/>
          <w:szCs w:val="18"/>
        </w:rPr>
      </w:pPr>
      <w:r w:rsidRPr="005A62D3">
        <w:rPr>
          <w:rFonts w:ascii="微软雅黑" w:eastAsia="微软雅黑" w:hAnsi="微软雅黑" w:cs="宋体" w:hint="eastAsia"/>
          <w:color w:val="B5B5B5"/>
          <w:kern w:val="0"/>
          <w:sz w:val="18"/>
          <w:szCs w:val="18"/>
        </w:rPr>
        <w:t>扫一扫在手机打开当前页</w:t>
      </w:r>
    </w:p>
    <w:p w:rsidR="005D6B56" w:rsidRPr="005A62D3" w:rsidRDefault="005D6B56"/>
    <w:sectPr w:rsidR="005D6B56" w:rsidRPr="005A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D3"/>
    <w:rsid w:val="005A62D3"/>
    <w:rsid w:val="005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0DAE0-62C2-4BD1-BE97-FD3D3FF7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6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923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2018-12-26T03:39:00Z</dcterms:created>
  <dcterms:modified xsi:type="dcterms:W3CDTF">2018-12-26T03:39:00Z</dcterms:modified>
</cp:coreProperties>
</file>